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18.03.2025 N 111</w:t>
              <w:br/>
              <w:t xml:space="preserve">"Об утверждении перечня информации, включаемой в отчет об охране лесов от пожаров, формы и порядка представления отчета об охране лесов от пожаров, а также требований к формату отчета об охране лесов от пожаров в электронной форме, перечня информации, включаемой в отчет о защите лесов, формы и порядка представления отчета о защите лесов, а также требований к формату отчета о защите лесов в электронной форме"</w:t>
              <w:br/>
              <w:t xml:space="preserve">(Зарегистрировано в Минюсте России 11.04.2025 N 81812)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25.02.2026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11 апреля 2025 г. N 81812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18 марта 2025 г. N 111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ПЕРЕЧНЯ</w:t>
      </w:r>
    </w:p>
    <w:p>
      <w:pPr>
        <w:pStyle w:val="2"/>
        <w:jc w:val="center"/>
      </w:pPr>
      <w:r>
        <w:rPr>
          <w:sz w:val="24"/>
        </w:rPr>
        <w:t xml:space="preserve">ИНФОРМАЦИИ, ВКЛЮЧАЕМОЙ В ОТЧЕТ ОБ ОХРАНЕ ЛЕСОВ</w:t>
      </w:r>
    </w:p>
    <w:p>
      <w:pPr>
        <w:pStyle w:val="2"/>
        <w:jc w:val="center"/>
      </w:pPr>
      <w:r>
        <w:rPr>
          <w:sz w:val="24"/>
        </w:rPr>
        <w:t xml:space="preserve">ОТ ПОЖАРОВ, ФОРМЫ И ПОРЯДКА ПРЕДСТАВЛЕНИЯ ОТЧЕТА ОБ ОХРАНЕ</w:t>
      </w:r>
    </w:p>
    <w:p>
      <w:pPr>
        <w:pStyle w:val="2"/>
        <w:jc w:val="center"/>
      </w:pPr>
      <w:r>
        <w:rPr>
          <w:sz w:val="24"/>
        </w:rPr>
        <w:t xml:space="preserve">ЛЕСОВ ОТ ПОЖАРОВ, А ТАКЖЕ ТРЕБОВАНИЙ К ФОРМАТУ ОТЧЕТА</w:t>
      </w:r>
    </w:p>
    <w:p>
      <w:pPr>
        <w:pStyle w:val="2"/>
        <w:jc w:val="center"/>
      </w:pPr>
      <w:r>
        <w:rPr>
          <w:sz w:val="24"/>
        </w:rPr>
        <w:t xml:space="preserve">ОБ ОХРАНЕ ЛЕСОВ ОТ ПОЖАРОВ В ЭЛЕКТРОННОЙ ФОРМЕ, ПЕРЕЧНЯ</w:t>
      </w:r>
    </w:p>
    <w:p>
      <w:pPr>
        <w:pStyle w:val="2"/>
        <w:jc w:val="center"/>
      </w:pPr>
      <w:r>
        <w:rPr>
          <w:sz w:val="24"/>
        </w:rPr>
        <w:t xml:space="preserve">ИНФОРМАЦИИ, ВКЛЮЧАЕМОЙ В ОТЧЕТ О ЗАЩИТЕ ЛЕСОВ, ФОРМЫ</w:t>
      </w:r>
    </w:p>
    <w:p>
      <w:pPr>
        <w:pStyle w:val="2"/>
        <w:jc w:val="center"/>
      </w:pPr>
      <w:r>
        <w:rPr>
          <w:sz w:val="24"/>
        </w:rPr>
        <w:t xml:space="preserve">И ПОРЯДКА ПРЕДСТАВЛЕНИЯ ОТЧЕТА О ЗАЩИТЕ ЛЕСОВ,</w:t>
      </w:r>
    </w:p>
    <w:p>
      <w:pPr>
        <w:pStyle w:val="2"/>
        <w:jc w:val="center"/>
      </w:pPr>
      <w:r>
        <w:rPr>
          <w:sz w:val="24"/>
        </w:rPr>
        <w:t xml:space="preserve">А ТАКЖЕ ТРЕБОВАНИЙ К ФОРМАТУ ОТЧЕТА О ЗАЩИТЕ</w:t>
      </w:r>
    </w:p>
    <w:p>
      <w:pPr>
        <w:pStyle w:val="2"/>
        <w:jc w:val="center"/>
      </w:pPr>
      <w:r>
        <w:rPr>
          <w:sz w:val="24"/>
        </w:rPr>
        <w:t xml:space="preserve">ЛЕСОВ В ЭЛЕКТРОННОЙ ФОРМЕ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3 статьи 60</w:t>
        </w:r>
      </w:hyperlink>
      <w:r>
        <w:rPr>
          <w:sz w:val="24"/>
        </w:rPr>
        <w:t xml:space="preserve">, </w:t>
      </w:r>
      <w:hyperlink w:history="0" r:id="rId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3 статьи 60.11</w:t>
        </w:r>
      </w:hyperlink>
      <w:r>
        <w:rPr>
          <w:sz w:val="24"/>
        </w:rPr>
        <w:t xml:space="preserve"> Лесного кодекса Российской Федерации, </w:t>
      </w:r>
      <w:hyperlink w:history="0" r:id="rId10" w:tooltip="Постановление Правительства РФ от 11.11.2015 N 1219 (ред. от 24.04.2025) &quot;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&quot; (с изм. и доп., вступ. в силу с 01.09.2025) {КонсультантПлюс}">
        <w:r>
          <w:rPr>
            <w:sz w:val="24"/>
            <w:color w:val="0000ff"/>
          </w:rPr>
          <w:t xml:space="preserve">подпунктами 5.2.126</w:t>
        </w:r>
      </w:hyperlink>
      <w:r>
        <w:rPr>
          <w:sz w:val="24"/>
        </w:rPr>
        <w:t xml:space="preserve">, </w:t>
      </w:r>
      <w:hyperlink w:history="0" r:id="rId11" w:tooltip="Постановление Правительства РФ от 11.11.2015 N 1219 (ред. от 24.04.2025) &quot;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&quot; (с изм. и доп., вступ. в силу с 01.09.2025) {КонсультантПлюс}">
        <w:r>
          <w:rPr>
            <w:sz w:val="24"/>
            <w:color w:val="0000ff"/>
          </w:rPr>
          <w:t xml:space="preserve">5.2.126(1)</w:t>
        </w:r>
      </w:hyperlink>
      <w:r>
        <w:rPr>
          <w:sz w:val="24"/>
        </w:rPr>
        <w:t xml:space="preserve">, </w:t>
      </w:r>
      <w:hyperlink w:history="0" r:id="rId12" w:tooltip="Постановление Правительства РФ от 11.11.2015 N 1219 (ред. от 24.04.2025) &quot;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&quot; (с изм. и доп., вступ. в силу с 01.09.2025) {КонсультантПлюс}">
        <w:r>
          <w:rPr>
            <w:sz w:val="24"/>
            <w:color w:val="0000ff"/>
          </w:rPr>
          <w:t xml:space="preserve">5.2.126(3) пункта 5</w:t>
        </w:r>
      </w:hyperlink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1219, приказываю: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Утвердить:</w:t>
      </w:r>
    </w:p>
    <w:p>
      <w:pPr>
        <w:pStyle w:val="0"/>
        <w:spacing w:before="240" w:lineRule="auto"/>
        <w:ind w:firstLine="540"/>
        <w:jc w:val="both"/>
      </w:pPr>
      <w:hyperlink w:history="0" w:anchor="P47" w:tooltip="ПЕРЕЧЕНЬ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информации, включаемой в отчет об охране лесов от пожаров, согласно приложению N 1 к настоящему приказу;</w:t>
      </w:r>
    </w:p>
    <w:p>
      <w:pPr>
        <w:pStyle w:val="0"/>
        <w:spacing w:before="240" w:lineRule="auto"/>
        <w:ind w:firstLine="540"/>
        <w:jc w:val="both"/>
      </w:pPr>
      <w:hyperlink w:history="0" w:anchor="P78" w:tooltip="                     Отчет об охране лесов от пожаров">
        <w:r>
          <w:rPr>
            <w:sz w:val="24"/>
            <w:color w:val="0000ff"/>
          </w:rPr>
          <w:t xml:space="preserve">форму</w:t>
        </w:r>
      </w:hyperlink>
      <w:r>
        <w:rPr>
          <w:sz w:val="24"/>
        </w:rPr>
        <w:t xml:space="preserve"> отчета об охране лесов от пожаров согласно приложению N 2 к настоящему приказу;</w:t>
      </w:r>
    </w:p>
    <w:p>
      <w:pPr>
        <w:pStyle w:val="0"/>
        <w:spacing w:before="240" w:lineRule="auto"/>
        <w:ind w:firstLine="540"/>
        <w:jc w:val="both"/>
      </w:pPr>
      <w:hyperlink w:history="0" w:anchor="P416" w:tooltip="ПОРЯДОК ПРЕДСТАВЛЕНИЯ ОТЧЕТА ОБ ОХРАНЕ ЛЕСОВ ОТ ПОЖАРОВ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представления отчета об охране лесов от пожаров согласно приложению N 3 к настоящему приказу;</w:t>
      </w:r>
    </w:p>
    <w:p>
      <w:pPr>
        <w:pStyle w:val="0"/>
        <w:spacing w:before="240" w:lineRule="auto"/>
        <w:ind w:firstLine="540"/>
        <w:jc w:val="both"/>
      </w:pPr>
      <w:hyperlink w:history="0" w:anchor="P435" w:tooltip="ТРЕБОВАНИЯ">
        <w:r>
          <w:rPr>
            <w:sz w:val="24"/>
            <w:color w:val="0000ff"/>
          </w:rPr>
          <w:t xml:space="preserve">требования</w:t>
        </w:r>
      </w:hyperlink>
      <w:r>
        <w:rPr>
          <w:sz w:val="24"/>
        </w:rPr>
        <w:t xml:space="preserve"> к формату отчета об охране лесов от пожаров в электронной форме согласно приложению N 4 к настоящему приказу;</w:t>
      </w:r>
    </w:p>
    <w:p>
      <w:pPr>
        <w:pStyle w:val="0"/>
        <w:spacing w:before="240" w:lineRule="auto"/>
        <w:ind w:firstLine="540"/>
        <w:jc w:val="both"/>
      </w:pPr>
      <w:hyperlink w:history="0" w:anchor="P455" w:tooltip="ПЕРЕЧЕНЬ ИНФОРМАЦИИ, ВКЛЮЧАЕМОЙ В ОТЧЕТ О ЗАЩИТЕ ЛЕСОВ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информации, включаемой в отчет о защите лесов, согласно приложению N 5 к настоящему приказу;</w:t>
      </w:r>
    </w:p>
    <w:p>
      <w:pPr>
        <w:pStyle w:val="0"/>
        <w:spacing w:before="240" w:lineRule="auto"/>
        <w:ind w:firstLine="540"/>
        <w:jc w:val="both"/>
      </w:pPr>
      <w:hyperlink w:history="0" w:anchor="P477" w:tooltip="                           Отчет о защите лесов">
        <w:r>
          <w:rPr>
            <w:sz w:val="24"/>
            <w:color w:val="0000ff"/>
          </w:rPr>
          <w:t xml:space="preserve">форму</w:t>
        </w:r>
      </w:hyperlink>
      <w:r>
        <w:rPr>
          <w:sz w:val="24"/>
        </w:rPr>
        <w:t xml:space="preserve"> отчета о защите лесов согласно приложению N 6 к настоящему приказу;</w:t>
      </w:r>
    </w:p>
    <w:p>
      <w:pPr>
        <w:pStyle w:val="0"/>
        <w:spacing w:before="240" w:lineRule="auto"/>
        <w:ind w:firstLine="540"/>
        <w:jc w:val="both"/>
      </w:pPr>
      <w:hyperlink w:history="0" w:anchor="P887" w:tooltip="ПОРЯДОК ПРЕДСТАВЛЕНИЯ ОТЧЕТА О ЗАЩИТЕ ЛЕСОВ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представления отчета о защите лесов согласно приложению N 7 к настоящему приказу;</w:t>
      </w:r>
    </w:p>
    <w:p>
      <w:pPr>
        <w:pStyle w:val="0"/>
        <w:spacing w:before="240" w:lineRule="auto"/>
        <w:ind w:firstLine="540"/>
        <w:jc w:val="both"/>
      </w:pPr>
      <w:hyperlink w:history="0" w:anchor="P906" w:tooltip="ТРЕБОВАНИЯ">
        <w:r>
          <w:rPr>
            <w:sz w:val="24"/>
            <w:color w:val="0000ff"/>
          </w:rPr>
          <w:t xml:space="preserve">требования</w:t>
        </w:r>
      </w:hyperlink>
      <w:r>
        <w:rPr>
          <w:sz w:val="24"/>
        </w:rPr>
        <w:t xml:space="preserve"> к формату отчета о защите лесов в электронной форме согласно приложению N 8 к настоящему приказу.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Признать утратившим силу </w:t>
      </w:r>
      <w:hyperlink w:history="0" r:id="rId13" w:tooltip="Приказ Минприроды России от 09.03.2017 N 78 &quot;Об утверждении перечня информации, включаемой в отчет об охране лесов от пожаров, формы и порядка представления отчета об охране лесов от пожаров, а также требований к формату отчета об охране лесов от пожаров в электронной форме, перечня информации, включаемой в отчет о защите лесов, формы и порядка представления отчета о защите лесов, а также требований к формату отчета о защите лесов в электронной форме&quot; (Зарегистрировано в Минюсте России 30.05.2017 N 46876) ------------ Утратил силу или отменен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Министерства природных ресурсов и экологии Российской Федерации от 9 марта 2017 г. N 78 "Об утверждении перечня информации, включаемой в отчет об охране лесов от пожаров, формы и порядка представления отчета об охране лесов от пожаров, а также требований к формату отчета об охране лесов от пожаров в электронной форме, перечня информации, включаемой в отчет о защите лесов, формы и порядка представления отчета о защите лесов, а также требований к формату отчета о защите лесов в электронной форме" (зарегистрирован Министерством юстиции Российской Федерации 30 мая 2017 г., регистрационный N 46876).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Настоящий приказ вступает в силу с 1 сентября 2025 г. и действует до 1 сентября 2031 г.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 природных ресурсов</w:t>
      </w:r>
    </w:p>
    <w:p>
      <w:pPr>
        <w:pStyle w:val="0"/>
        <w:jc w:val="right"/>
      </w:pPr>
      <w:r>
        <w:rPr>
          <w:sz w:val="24"/>
        </w:rPr>
        <w:t xml:space="preserve">и экологии Российской Федерации</w:t>
      </w:r>
    </w:p>
    <w:p>
      <w:pPr>
        <w:pStyle w:val="0"/>
        <w:jc w:val="right"/>
      </w:pPr>
      <w:r>
        <w:rPr>
          <w:sz w:val="24"/>
        </w:rPr>
        <w:t xml:space="preserve">А.А.КОЗЛОВ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18.03.2025 N 111</w:t>
      </w:r>
    </w:p>
    <w:p>
      <w:pPr>
        <w:pStyle w:val="0"/>
        <w:jc w:val="both"/>
      </w:pPr>
      <w:r>
        <w:rPr>
          <w:sz w:val="24"/>
        </w:rPr>
      </w:r>
    </w:p>
    <w:bookmarkStart w:id="47" w:name="P47"/>
    <w:bookmarkEnd w:id="47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ИНФОРМАЦИИ, ВКЛЮЧАЕМОЙ В ОТЧЕТ ОБ ОХРАНЕ ЛЕСОВ ОТ ПОЖАРОВ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Отчет об охране лесов от пожаров включает информацию: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о создании, содержании и эксплуатации лесных дорог, предназначенных для охраны лесов от пожаров;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 создании, содержании и эксплуатации посадочных площадок, используемых в целях проведения авиационных работ по охране лесов от пожаров;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о прокладке и прочистке просек, противопожарных разрывах;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об устройстве, прочистке и обновлении (уходе) противопожарных минерализованных полос, в том числе на границе с иными категориями земель;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о создании, содержании и эксплуатации пожарных наблюдательных пунктов (вышек, мачт, павильонов и других наблюдательных пунктов);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о создании в целях тушения лесных пожаров условий для забора в любое время года воды из источников наружного водоснабжения, эксплуатации пожарных водоемов и подъездов к источникам водоснабжения;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о проведении гидромелиорации земель;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о снижении природной пожарной опасности лесов путем регулирования породного состава лесных насаждений (с расшифровкой мероприятий);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9) о проведении профилактического контролируемого противопожарного выжигания хвороста, лесной подстилки, сухой травы и других лесных горючих материалов;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10) о благоустройстве зон отдыха граждан, пребывающих в лесах в соответствии со </w:t>
      </w:r>
      <w:hyperlink w:history="0" r:id="rId1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статьей 11</w:t>
        </w:r>
      </w:hyperlink>
      <w:r>
        <w:rPr>
          <w:sz w:val="24"/>
        </w:rPr>
        <w:t xml:space="preserve"> Лесного кодекса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11) об установке и эксплуатации шлагбаумов, устройстве преград, обеспечивающих ограничение пребывания граждан в лесах в целях обеспечения пожарной безопасности;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12) о создании и содержании противопожарных заслонов и устройстве лиственных опушек;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13) об установке и размещении стендов и других знаков и указателей, содержащих информацию о мерах пожарной безопасности в лесах;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14) о тушении лесных пожаров.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18.03.2025 N 111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Форма 1-ОЛ</w:t>
      </w:r>
    </w:p>
    <w:p>
      <w:pPr>
        <w:pStyle w:val="0"/>
        <w:jc w:val="both"/>
      </w:pPr>
      <w:r>
        <w:rPr>
          <w:sz w:val="24"/>
        </w:rPr>
      </w:r>
    </w:p>
    <w:bookmarkStart w:id="78" w:name="P78"/>
    <w:bookmarkEnd w:id="78"/>
    <w:p>
      <w:pPr>
        <w:pStyle w:val="1"/>
        <w:jc w:val="both"/>
      </w:pPr>
      <w:r>
        <w:rPr>
          <w:sz w:val="20"/>
        </w:rPr>
        <w:t xml:space="preserve">                     Отчет об охране лесов от пожаров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(наименование субъекта Российской Федерации)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(наименование муниципального района)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(наименование органа государственной власти,</w:t>
      </w:r>
    </w:p>
    <w:p>
      <w:pPr>
        <w:pStyle w:val="1"/>
        <w:jc w:val="both"/>
      </w:pPr>
      <w:r>
        <w:rPr>
          <w:sz w:val="20"/>
        </w:rPr>
        <w:t xml:space="preserve">                      органа местного самоуправления)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Информация о лице, представляющем отчет об охране лесов</w:t>
      </w:r>
    </w:p>
    <w:p>
      <w:pPr>
        <w:pStyle w:val="1"/>
        <w:jc w:val="both"/>
      </w:pPr>
      <w:r>
        <w:rPr>
          <w:sz w:val="20"/>
        </w:rPr>
        <w:t xml:space="preserve">                                от пожаров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530"/>
        <w:gridCol w:w="1133"/>
        <w:gridCol w:w="737"/>
        <w:gridCol w:w="1360"/>
        <w:gridCol w:w="1133"/>
        <w:gridCol w:w="907"/>
        <w:gridCol w:w="737"/>
        <w:gridCol w:w="2834"/>
        <w:gridCol w:w="1133"/>
        <w:gridCol w:w="1020"/>
        <w:gridCol w:w="1077"/>
      </w:tblGrid>
      <w:tr>
        <w:tc>
          <w:tcPr>
            <w:tcW w:w="153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</w:t>
            </w:r>
            <w:hyperlink w:history="0" w:anchor="P401" w:tooltip="&lt;1&gt; Поля заполняются только в отношении юридических лиц.">
              <w:r>
                <w:rPr>
                  <w:sz w:val="24"/>
                  <w:color w:val="0000ff"/>
                </w:rPr>
                <w:t xml:space="preserve">&lt;1&gt;</w:t>
              </w:r>
            </w:hyperlink>
            <w:r>
              <w:rPr>
                <w:sz w:val="24"/>
              </w:rPr>
              <w:t xml:space="preserve"> (включая организационно-правовую форму)</w:t>
            </w:r>
          </w:p>
        </w:tc>
        <w:tc>
          <w:tcPr>
            <w:tcW w:w="113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Фамилия </w:t>
            </w:r>
            <w:hyperlink w:history="0" w:anchor="P402" w:tooltip="&lt;2&gt; Поля заполняются только в отношении граждан, в том числе индивидуальных предпринимателей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Имя </w:t>
            </w:r>
            <w:hyperlink w:history="0" w:anchor="P402" w:tooltip="&lt;2&gt; Поля заполняются только в отношении граждан, в том числе индивидуальных предпринимателей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136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Отчество </w:t>
            </w:r>
            <w:hyperlink w:history="0" w:anchor="P402" w:tooltip="&lt;2&gt; Поля заполняются только в отношении граждан, в том числе индивидуальных предпринимателей.">
              <w:r>
                <w:rPr>
                  <w:sz w:val="24"/>
                  <w:color w:val="0000ff"/>
                </w:rPr>
                <w:t xml:space="preserve">&lt;2&gt;</w:t>
              </w:r>
            </w:hyperlink>
            <w:r>
              <w:rPr>
                <w:sz w:val="24"/>
              </w:rPr>
              <w:t xml:space="preserve"> (при наличии)</w:t>
            </w:r>
          </w:p>
        </w:tc>
        <w:tc>
          <w:tcPr>
            <w:gridSpan w:val="3"/>
            <w:tcW w:w="27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Документ, удостоверяющий личность </w:t>
            </w:r>
            <w:hyperlink w:history="0" w:anchor="P402" w:tooltip="&lt;2&gt; Поля заполняются только в отношении граждан, в том числе индивидуальных предпринимателей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28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Основной государственный регистрационный номер юридического лица </w:t>
            </w:r>
            <w:hyperlink w:history="0" w:anchor="P401" w:tooltip="&lt;1&gt; Поля заполняются только в отношении юридических лиц.">
              <w:r>
                <w:rPr>
                  <w:sz w:val="24"/>
                  <w:color w:val="0000ff"/>
                </w:rPr>
                <w:t xml:space="preserve">&lt;1&gt;</w:t>
              </w:r>
            </w:hyperlink>
            <w:r>
              <w:rPr>
                <w:sz w:val="24"/>
              </w:rPr>
              <w:t xml:space="preserve"> или основной государственный регистрационный номер индивидуального предпринимателя </w:t>
            </w:r>
            <w:hyperlink w:history="0" w:anchor="P403" w:tooltip="&lt;3&gt; Поля заполняются только в отношении индивидуальных предпринимателей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113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Индивидуальный номер налогоплательщика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Место нахождения </w:t>
            </w:r>
            <w:hyperlink w:history="0" w:anchor="P401" w:tooltip="&lt;1&gt; Поля заполняются только в отношении юридических лиц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телефона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серия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15"/>
          <w:headerReference w:type="first" r:id="rId15"/>
          <w:footerReference w:type="default" r:id="rId16"/>
          <w:footerReference w:type="first" r:id="rId16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Информация о договоре аренды или ином документе, на основании</w:t>
      </w:r>
    </w:p>
    <w:p>
      <w:pPr>
        <w:pStyle w:val="1"/>
        <w:jc w:val="both"/>
      </w:pPr>
      <w:r>
        <w:rPr>
          <w:sz w:val="20"/>
        </w:rPr>
        <w:t xml:space="preserve">         которого представляется отчет об охране лесов от пожаров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47"/>
        <w:gridCol w:w="2324"/>
        <w:gridCol w:w="3628"/>
        <w:gridCol w:w="1871"/>
      </w:tblGrid>
      <w:tr>
        <w:tc>
          <w:tcPr>
            <w:tcW w:w="124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документа</w:t>
            </w:r>
          </w:p>
        </w:tc>
        <w:tc>
          <w:tcPr>
            <w:gridSpan w:val="2"/>
            <w:tcW w:w="5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договора аренды или иного документа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договора аренды или иного документа</w:t>
            </w:r>
          </w:p>
        </w:tc>
        <w:tc>
          <w:tcPr>
            <w:tcW w:w="36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государственной регистрации договора аренды, права, на основании которого осуществляется пользование лесным участком</w:t>
            </w:r>
          </w:p>
        </w:tc>
        <w:tc>
          <w:tcPr>
            <w:vMerge w:val="continue"/>
          </w:tcPr>
          <w:p/>
        </w:tc>
      </w:tr>
      <w:tr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6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за январь - ____________________ 20__ года</w:t>
      </w:r>
    </w:p>
    <w:p>
      <w:pPr>
        <w:pStyle w:val="1"/>
        <w:jc w:val="both"/>
      </w:pPr>
      <w:r>
        <w:rPr>
          <w:sz w:val="20"/>
        </w:rPr>
        <w:t xml:space="preserve">                            (нарастающим итогом)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"/>
        <w:gridCol w:w="2834"/>
        <w:gridCol w:w="567"/>
        <w:gridCol w:w="728"/>
        <w:gridCol w:w="728"/>
        <w:gridCol w:w="728"/>
        <w:gridCol w:w="728"/>
        <w:gridCol w:w="728"/>
        <w:gridCol w:w="728"/>
        <w:gridCol w:w="730"/>
      </w:tblGrid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по порядку</w:t>
            </w:r>
          </w:p>
        </w:tc>
        <w:tc>
          <w:tcPr>
            <w:tcW w:w="28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Показатели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строки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лесничества (лесопарка)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участкового лесничества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урочища (при наличии)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квартала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выдела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 </w:t>
            </w:r>
            <w:hyperlink w:history="0" w:anchor="P404" w:tooltip="&lt;4&gt; Единица измерения указывается в соответствии с наименованием показателя, указанного в графе 2, в установленных единицах (площадь - га (с точностью до четырех десятичных знаков), протяженность - км (с точностью до одного десятичного знака), объем - м3 (с точностью до одного десятичного знака), количество - штук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7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выполненных мероприятий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834" w:type="dxa"/>
          </w:tcPr>
          <w:bookmarkStart w:id="144" w:name="P144"/>
          <w:bookmarkEnd w:id="144"/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7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Создание лесных дорог, предназначенных для охраны лесов от пожаров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010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Содержание лесных дорог, предназначенных для охраны лесов от пожаров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011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Эксплуатация лесных дорог, предназначенных для охраны лесов от пожаров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012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Создание посадочных площадок, используемых в целях проведения авиационных работ по охране лесов от пожаров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020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штук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Содержание посадочных площадок, используемых в целях проведения авиационных работ по охране лесов от пожаров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021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штук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Эксплуатация посадочных площадок, используемых в целях проведения авиационных работ по охране лесов от пожаров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022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штук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</w:t>
            </w:r>
          </w:p>
        </w:tc>
        <w:tc>
          <w:tcPr>
            <w:tcW w:w="283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Прокладка просек и противопожарных разрывов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030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031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</w:t>
            </w:r>
          </w:p>
        </w:tc>
        <w:tc>
          <w:tcPr>
            <w:tcW w:w="283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Прочистка просек, противопожарных разрывов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040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041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Устройство противопожарных минерализованных полос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050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Прочистка противопожарных минерализованных полос и их обновление (уход)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060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Создание пожарных наблюдательных пунктов (вышек, мачт, павильонов и других наблюдательных пунктов)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070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штук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Содержание пожарных наблюдательных пунктов (вышек, мачт, павильонов и других наблюдательных пунктов)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071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штук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Эксплуатация пожарных наблюдательных пунктов (вышек, мачт, павильонов и других наблюдательных пунктов)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072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штук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Создание в целях тушения лесных пожаров условий для забора в любое время года воды из источников наружного водоснабжения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080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штук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Эксплуатация пожарных водоемов и подъездов к источникам водоснабжения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штук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Снижение природной пожарной опасности лесов путем регулирования породного состава лесных насаждений (расшифровать мероприятия)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Проведение профилактического контролируемого противопожарного выжигания хвороста, лесной подстилки, сухой травы и других лесных горючих материалов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Проведение гидромелиорации земель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090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Благоустройство зон отдыха граждан, пребывающих в лесах в соответствии со </w:t>
            </w:r>
            <w:hyperlink w:history="0" r:id="rId17" w:tooltip="&quot;Лесной кодекс Российской Федерации&quot; от 04.12.2006 N 200-ФЗ (ред. от 29.12.2025) {КонсультантПлюс}">
              <w:r>
                <w:rPr>
                  <w:sz w:val="24"/>
                  <w:color w:val="0000ff"/>
                </w:rPr>
                <w:t xml:space="preserve">статьей 11</w:t>
              </w:r>
            </w:hyperlink>
            <w:r>
              <w:rPr>
                <w:sz w:val="24"/>
              </w:rPr>
              <w:t xml:space="preserve"> Лесного кодекса Российской Федерации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штук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Установка и эксплуатация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штук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Создание и содержание противопожарных заслонов и устройство лиственных опушек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штук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Тушение лесных пожаров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</w:t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401" w:name="P401"/>
    <w:bookmarkEnd w:id="40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Поля заполняются только в отношении юридических лиц.</w:t>
      </w:r>
    </w:p>
    <w:bookmarkStart w:id="402" w:name="P402"/>
    <w:bookmarkEnd w:id="40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&lt;2&gt; Поля заполняются только в отношении граждан, в том числе индивидуальных предпринимателей.</w:t>
      </w:r>
    </w:p>
    <w:bookmarkStart w:id="403" w:name="P403"/>
    <w:bookmarkEnd w:id="40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&lt;3&gt; Поля заполняются только в отношении индивидуальных предпринимателей.</w:t>
      </w:r>
    </w:p>
    <w:bookmarkStart w:id="404" w:name="P404"/>
    <w:bookmarkEnd w:id="40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&lt;4&gt; Единица измерения указывается в соответствии с наименованием показателя, указанного в </w:t>
      </w:r>
      <w:hyperlink w:history="0" w:anchor="P144" w:tooltip="2">
        <w:r>
          <w:rPr>
            <w:sz w:val="24"/>
            <w:color w:val="0000ff"/>
          </w:rPr>
          <w:t xml:space="preserve">графе 2</w:t>
        </w:r>
      </w:hyperlink>
      <w:r>
        <w:rPr>
          <w:sz w:val="24"/>
        </w:rPr>
        <w:t xml:space="preserve">, в установленных единицах (площадь - га (с точностью до четырех десятичных знаков), протяженность - км (с точностью до одного десятичного знака), объем - м</w:t>
      </w:r>
      <w:r>
        <w:rPr>
          <w:sz w:val="24"/>
          <w:vertAlign w:val="superscript"/>
        </w:rPr>
        <w:t xml:space="preserve">3</w:t>
      </w:r>
      <w:r>
        <w:rPr>
          <w:sz w:val="24"/>
        </w:rPr>
        <w:t xml:space="preserve"> (с точностью до одного десятичного знака), количество - штук).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3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18.03.2025 N 111</w:t>
      </w:r>
    </w:p>
    <w:p>
      <w:pPr>
        <w:pStyle w:val="0"/>
        <w:jc w:val="both"/>
      </w:pPr>
      <w:r>
        <w:rPr>
          <w:sz w:val="24"/>
        </w:rPr>
      </w:r>
    </w:p>
    <w:bookmarkStart w:id="416" w:name="P416"/>
    <w:bookmarkEnd w:id="416"/>
    <w:p>
      <w:pPr>
        <w:pStyle w:val="2"/>
        <w:jc w:val="center"/>
      </w:pPr>
      <w:r>
        <w:rPr>
          <w:sz w:val="24"/>
        </w:rPr>
        <w:t xml:space="preserve">ПОРЯДОК ПРЕДСТАВЛЕНИЯ ОТЧЕТА ОБ ОХРАНЕ ЛЕСОВ ОТ ПОЖАРОВ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Отчет об охране лесов от пожаров (далее - Отчет) представляется гражданами, в том числе индивидуальными предпринимателями, юридическими лицами, осуществляющими в соответствии с Лесным </w:t>
      </w:r>
      <w:hyperlink w:history="0" r:id="rId1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 (далее - Лесной кодекс) использование лесов, а также осуществляющими мероприятия по охране лесов от пожаров, в органы государственной власти, органы местного самоуправления в пределах их полномочий, определенных в соответствии со </w:t>
      </w:r>
      <w:hyperlink w:history="0" r:id="rId1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81</w:t>
        </w:r>
      </w:hyperlink>
      <w:r>
        <w:rPr>
          <w:sz w:val="24"/>
        </w:rPr>
        <w:t xml:space="preserve"> - </w:t>
      </w:r>
      <w:hyperlink w:history="0" r:id="rId2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84</w:t>
        </w:r>
      </w:hyperlink>
      <w:r>
        <w:rPr>
          <w:sz w:val="24"/>
        </w:rPr>
        <w:t xml:space="preserve"> Лесного кодекса. Отчет представляется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документа, подписанного электронной подписью в соответствии с Федеральным </w:t>
      </w:r>
      <w:hyperlink w:history="0" r:id="rId21" w:tooltip="Федеральный закон от 06.04.2011 N 63-ФЗ (ред. от 21.04.2025) &quot;Об электронной подпис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6 апреля 2011 г. N 63-ФЗ "Об электронной подписи",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 &lt;1&gt;.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</w:t>
      </w:r>
      <w:hyperlink w:history="0" r:id="rId2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60</w:t>
        </w:r>
      </w:hyperlink>
      <w:r>
        <w:rPr>
          <w:sz w:val="24"/>
        </w:rPr>
        <w:t xml:space="preserve">, </w:t>
      </w:r>
      <w:hyperlink w:history="0" r:id="rId2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93.5</w:t>
        </w:r>
      </w:hyperlink>
      <w:r>
        <w:rPr>
          <w:sz w:val="24"/>
        </w:rPr>
        <w:t xml:space="preserve"> Лесного кодекса Российской Федерации.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Отчет представляется ежеквартально, не позднее десятого числа месяца, следующего за отчетным периодом. В случаях, если проектом освоения лесов, лесохозяйственным регламентом в отчетном квартале не предусмотрены мероприятия по охране лесов от пожаров, Отчет представляется ежегодно, не позднее десятого января года, следующего за отчетным.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Отчет подписывается руководителем юридического лица, гражданином, индивидуальным предпринимателем.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4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18.03.2025 N 111</w:t>
      </w:r>
    </w:p>
    <w:p>
      <w:pPr>
        <w:pStyle w:val="0"/>
        <w:jc w:val="both"/>
      </w:pPr>
      <w:r>
        <w:rPr>
          <w:sz w:val="24"/>
        </w:rPr>
      </w:r>
    </w:p>
    <w:bookmarkStart w:id="435" w:name="P435"/>
    <w:bookmarkEnd w:id="435"/>
    <w:p>
      <w:pPr>
        <w:pStyle w:val="2"/>
        <w:jc w:val="center"/>
      </w:pPr>
      <w:r>
        <w:rPr>
          <w:sz w:val="24"/>
        </w:rPr>
        <w:t xml:space="preserve">ТРЕБОВАНИЯ</w:t>
      </w:r>
    </w:p>
    <w:p>
      <w:pPr>
        <w:pStyle w:val="2"/>
        <w:jc w:val="center"/>
      </w:pPr>
      <w:r>
        <w:rPr>
          <w:sz w:val="24"/>
        </w:rPr>
        <w:t xml:space="preserve">К ФОРМАТУ ОТЧЕТА ОБ ОХРАНЕ ЛЕСОВ ОТ ПОЖАРОВ</w:t>
      </w:r>
    </w:p>
    <w:p>
      <w:pPr>
        <w:pStyle w:val="2"/>
        <w:jc w:val="center"/>
      </w:pPr>
      <w:r>
        <w:rPr>
          <w:sz w:val="24"/>
        </w:rPr>
        <w:t xml:space="preserve">В ЭЛЕКТРОННОЙ ФОРМЕ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Допускается формирование отчета об охране лесов от пожаров (далее - Отчет) в форме электронного документа, соответствующей форме Отчета (</w:t>
      </w:r>
      <w:hyperlink w:history="0" w:anchor="P78" w:tooltip="                     Отчет об охране лесов от пожаров">
        <w:r>
          <w:rPr>
            <w:sz w:val="24"/>
            <w:color w:val="0000ff"/>
          </w:rPr>
          <w:t xml:space="preserve">приложение N 2</w:t>
        </w:r>
      </w:hyperlink>
      <w:r>
        <w:rPr>
          <w:sz w:val="24"/>
        </w:rPr>
        <w:t xml:space="preserve"> к настоящему приказу), на едином портале государственных и муниципальных услуг (далее - Единый портал) &lt;1&gt; или представление в виде файлов в формате XML, в соответствии с описанием структуры XML-документов (далее - XSD-схема), если описание XML-структуры и XSD-схемы, алгоритма передачи XML-документа представлены в свободном доступе на информационном ресурсе Единого портала или в информационно-телекоммуникационной сети "Интернет" на официальном сайте органа государственной власти, органа местного самоуправления в пределах их полномочий, определенных в соответствии со </w:t>
      </w:r>
      <w:hyperlink w:history="0" r:id="rId2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81</w:t>
        </w:r>
      </w:hyperlink>
      <w:r>
        <w:rPr>
          <w:sz w:val="24"/>
        </w:rPr>
        <w:t xml:space="preserve"> - </w:t>
      </w:r>
      <w:hyperlink w:history="0" r:id="rId25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84</w:t>
        </w:r>
      </w:hyperlink>
      <w:r>
        <w:rPr>
          <w:sz w:val="24"/>
        </w:rPr>
        <w:t xml:space="preserve"> Лесного кодекса Российской Федерации. При этом XSD-схема должна соответствовать форме Отчета (</w:t>
      </w:r>
      <w:hyperlink w:history="0" w:anchor="P78" w:tooltip="                     Отчет об охране лесов от пожаров">
        <w:r>
          <w:rPr>
            <w:sz w:val="24"/>
            <w:color w:val="0000ff"/>
          </w:rPr>
          <w:t xml:space="preserve">приложение N 2</w:t>
        </w:r>
      </w:hyperlink>
      <w:r>
        <w:rPr>
          <w:sz w:val="24"/>
        </w:rPr>
        <w:t xml:space="preserve"> к настоящему приказу) и содержать сведения, позволяющие ее идентифицировать при обработке информации с использованием средств вычислительной техники.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</w:t>
      </w:r>
      <w:hyperlink w:history="0" r:id="rId26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60</w:t>
        </w:r>
      </w:hyperlink>
      <w:r>
        <w:rPr>
          <w:sz w:val="24"/>
        </w:rPr>
        <w:t xml:space="preserve">, </w:t>
      </w:r>
      <w:hyperlink w:history="0" r:id="rId27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93.5</w:t>
        </w:r>
      </w:hyperlink>
      <w:r>
        <w:rPr>
          <w:sz w:val="24"/>
        </w:rPr>
        <w:t xml:space="preserve"> Лесного кодекса Российской Федерации.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случае формирования Отчета в форме электронного документа без обращения к Единому порталу он должен содержать структурированную информацию, соответствующую форме Отчета (</w:t>
      </w:r>
      <w:hyperlink w:history="0" w:anchor="P78" w:tooltip="                     Отчет об охране лесов от пожаров">
        <w:r>
          <w:rPr>
            <w:sz w:val="24"/>
            <w:color w:val="0000ff"/>
          </w:rPr>
          <w:t xml:space="preserve">приложение N 2</w:t>
        </w:r>
      </w:hyperlink>
      <w:r>
        <w:rPr>
          <w:sz w:val="24"/>
        </w:rPr>
        <w:t xml:space="preserve"> к настоящему приказу), и формироваться с использованием программы для работы с электронными таблицами.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5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18.03.2025 N 111</w:t>
      </w:r>
    </w:p>
    <w:p>
      <w:pPr>
        <w:pStyle w:val="0"/>
        <w:jc w:val="both"/>
      </w:pPr>
      <w:r>
        <w:rPr>
          <w:sz w:val="24"/>
        </w:rPr>
      </w:r>
    </w:p>
    <w:bookmarkStart w:id="455" w:name="P455"/>
    <w:bookmarkEnd w:id="455"/>
    <w:p>
      <w:pPr>
        <w:pStyle w:val="2"/>
        <w:jc w:val="center"/>
      </w:pPr>
      <w:r>
        <w:rPr>
          <w:sz w:val="24"/>
        </w:rPr>
        <w:t xml:space="preserve">ПЕРЕЧЕНЬ ИНФОРМАЦИИ, ВКЛЮЧАЕМОЙ В ОТЧЕТ О ЗАЩИТЕ ЛЕСОВ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Отчет о защите лесов включает информацию: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о лесопатологических обследованиях при выполнении визуальным и инструментальным способом, дистанционным и наземным методом;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 предупреждении распространения вредных организмов: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о профилактических мероприятиях по защите лесов, в том числе лесохозяйственных и биотехнических мероприятиях;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 санитарно-оздоровительных мероприятиях, в том числе сплошных и выборочных санитарных рубках с указанием объема ликвидной древесины, уборке неликвидной древесины и рубке аварийных деревьев;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об агитационных мероприятиях;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о ликвидации очагов вредных организмов, в том числе: о проведении обследований очагов вредных организмов, об уничтожении или подавлении численности вредных организмов, в том числе с применением химических и биологических пестицидов и о рубке лесных насаждений в целях регулирования породного и возрастного составов лесных насаждений, зараженных вредными организмами, путем проведения сплошной рубки лесных насаждений, зараженных вредными организмами, и выкладки ловчих деревьев.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6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18.03.2025 N 111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Форма 1-ЗЛ</w:t>
      </w:r>
    </w:p>
    <w:p>
      <w:pPr>
        <w:pStyle w:val="0"/>
        <w:jc w:val="both"/>
      </w:pPr>
      <w:r>
        <w:rPr>
          <w:sz w:val="24"/>
        </w:rPr>
      </w:r>
    </w:p>
    <w:bookmarkStart w:id="477" w:name="P477"/>
    <w:bookmarkEnd w:id="477"/>
    <w:p>
      <w:pPr>
        <w:pStyle w:val="1"/>
        <w:jc w:val="both"/>
      </w:pPr>
      <w:r>
        <w:rPr>
          <w:sz w:val="20"/>
        </w:rPr>
        <w:t xml:space="preserve">                           Отчет о защите лесов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(наименование субъекта Российской Федерации)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(наименование муниципального района)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(наименование органа государственной власти, органа</w:t>
      </w:r>
    </w:p>
    <w:p>
      <w:pPr>
        <w:pStyle w:val="1"/>
        <w:jc w:val="both"/>
      </w:pPr>
      <w:r>
        <w:rPr>
          <w:sz w:val="20"/>
        </w:rPr>
        <w:t xml:space="preserve">                         местного самоуправления)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Информация о лице, представляющем отчет о защите лесов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530"/>
        <w:gridCol w:w="1133"/>
        <w:gridCol w:w="737"/>
        <w:gridCol w:w="1360"/>
        <w:gridCol w:w="1133"/>
        <w:gridCol w:w="907"/>
        <w:gridCol w:w="737"/>
        <w:gridCol w:w="2834"/>
        <w:gridCol w:w="1133"/>
        <w:gridCol w:w="1020"/>
        <w:gridCol w:w="1077"/>
      </w:tblGrid>
      <w:tr>
        <w:tc>
          <w:tcPr>
            <w:tcW w:w="153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</w:t>
            </w:r>
            <w:hyperlink w:history="0" w:anchor="P872" w:tooltip="&lt;1&gt; Поля заполняются только в отношении юридических лиц.">
              <w:r>
                <w:rPr>
                  <w:sz w:val="24"/>
                  <w:color w:val="0000ff"/>
                </w:rPr>
                <w:t xml:space="preserve">&lt;1&gt;</w:t>
              </w:r>
            </w:hyperlink>
            <w:r>
              <w:rPr>
                <w:sz w:val="24"/>
              </w:rPr>
              <w:t xml:space="preserve"> (включая организационно-правовую форму)</w:t>
            </w:r>
          </w:p>
        </w:tc>
        <w:tc>
          <w:tcPr>
            <w:tcW w:w="113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Фамилия </w:t>
            </w:r>
            <w:hyperlink w:history="0" w:anchor="P873" w:tooltip="&lt;2&gt; Поля заполняются только в отношении граждан, в том числе индивидуальных предпринимателей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Имя </w:t>
            </w:r>
            <w:hyperlink w:history="0" w:anchor="P873" w:tooltip="&lt;2&gt; Поля заполняются только в отношении граждан, в том числе индивидуальных предпринимателей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136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Отчество </w:t>
            </w:r>
            <w:hyperlink w:history="0" w:anchor="P873" w:tooltip="&lt;2&gt; Поля заполняются только в отношении граждан, в том числе индивидуальных предпринимателей.">
              <w:r>
                <w:rPr>
                  <w:sz w:val="24"/>
                  <w:color w:val="0000ff"/>
                </w:rPr>
                <w:t xml:space="preserve">&lt;2&gt;</w:t>
              </w:r>
            </w:hyperlink>
            <w:r>
              <w:rPr>
                <w:sz w:val="24"/>
              </w:rPr>
              <w:t xml:space="preserve"> (при наличии)</w:t>
            </w:r>
          </w:p>
        </w:tc>
        <w:tc>
          <w:tcPr>
            <w:gridSpan w:val="3"/>
            <w:tcW w:w="27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Документ, удостоверяющий личность </w:t>
            </w:r>
            <w:hyperlink w:history="0" w:anchor="P873" w:tooltip="&lt;2&gt; Поля заполняются только в отношении граждан, в том числе индивидуальных предпринимателей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28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Основной государственный регистрационный номер юридического лица </w:t>
            </w:r>
            <w:hyperlink w:history="0" w:anchor="P872" w:tooltip="&lt;1&gt; Поля заполняются только в отношении юридических лиц.">
              <w:r>
                <w:rPr>
                  <w:sz w:val="24"/>
                  <w:color w:val="0000ff"/>
                </w:rPr>
                <w:t xml:space="preserve">&lt;1&gt;</w:t>
              </w:r>
            </w:hyperlink>
            <w:r>
              <w:rPr>
                <w:sz w:val="24"/>
              </w:rPr>
              <w:t xml:space="preserve"> или основной государственный регистрационный номер индивидуального предпринимателя </w:t>
            </w:r>
            <w:hyperlink w:history="0" w:anchor="P874" w:tooltip="&lt;3&gt; Поля заполняются только в отношении индивидуальных предпринимателей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113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Индивидуальный номер налогоплательщика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Место нахождения </w:t>
            </w:r>
            <w:hyperlink w:history="0" w:anchor="P872" w:tooltip="&lt;1&gt; Поля заполняются только в отношении юридических лиц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телефона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серия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15"/>
          <w:headerReference w:type="first" r:id="rId15"/>
          <w:footerReference w:type="default" r:id="rId16"/>
          <w:footerReference w:type="first" r:id="rId16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Информация о договоре аренды или ином документе, на основании</w:t>
      </w:r>
    </w:p>
    <w:p>
      <w:pPr>
        <w:pStyle w:val="1"/>
        <w:jc w:val="both"/>
      </w:pPr>
      <w:r>
        <w:rPr>
          <w:sz w:val="20"/>
        </w:rPr>
        <w:t xml:space="preserve">               которого представляется отчет о защите лесов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47"/>
        <w:gridCol w:w="2324"/>
        <w:gridCol w:w="3628"/>
        <w:gridCol w:w="1871"/>
      </w:tblGrid>
      <w:tr>
        <w:tc>
          <w:tcPr>
            <w:tcW w:w="124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документа</w:t>
            </w:r>
          </w:p>
        </w:tc>
        <w:tc>
          <w:tcPr>
            <w:gridSpan w:val="2"/>
            <w:tcW w:w="5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договора аренды или иного документа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договора аренды или иного документа</w:t>
            </w:r>
          </w:p>
        </w:tc>
        <w:tc>
          <w:tcPr>
            <w:tcW w:w="36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государственной регистрации договора аренды, права, на основании которого осуществляется пользование лесным участком</w:t>
            </w:r>
          </w:p>
        </w:tc>
        <w:tc>
          <w:tcPr>
            <w:vMerge w:val="continue"/>
          </w:tcPr>
          <w:p/>
        </w:tc>
      </w:tr>
      <w:tr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6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за январь - ____________________ 20__ года</w:t>
      </w:r>
    </w:p>
    <w:p>
      <w:pPr>
        <w:pStyle w:val="1"/>
        <w:jc w:val="both"/>
      </w:pPr>
      <w:r>
        <w:rPr>
          <w:sz w:val="20"/>
        </w:rPr>
        <w:t xml:space="preserve">                            (нарастающим итогом)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"/>
        <w:gridCol w:w="2834"/>
        <w:gridCol w:w="567"/>
        <w:gridCol w:w="728"/>
        <w:gridCol w:w="728"/>
        <w:gridCol w:w="728"/>
        <w:gridCol w:w="728"/>
        <w:gridCol w:w="728"/>
        <w:gridCol w:w="728"/>
        <w:gridCol w:w="730"/>
      </w:tblGrid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по порядку</w:t>
            </w:r>
          </w:p>
        </w:tc>
        <w:tc>
          <w:tcPr>
            <w:tcW w:w="28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Показатели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строки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лесничества (лесопарка)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участкового лесничества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урочища (при наличии)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квартала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выдела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 </w:t>
            </w:r>
            <w:hyperlink w:history="0" w:anchor="P875" w:tooltip="&lt;4&gt; Единица измерения указывается в соответствии с наименованием показателя, указанного в графе 2, в установленных единицах (площадь - га (с точностью до четырех десятичных знаков), протяженность - км (с точностью до одного десятичного знака), объем - м3 (с точностью до одного десятичного знака), количество - штук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7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выполненных мероприятий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834" w:type="dxa"/>
          </w:tcPr>
          <w:bookmarkStart w:id="542" w:name="P542"/>
          <w:bookmarkEnd w:id="542"/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7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gridSpan w:val="10"/>
            <w:tcW w:w="9009" w:type="dxa"/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Раздел 1 "Лесопатологические обследования"</w:t>
            </w:r>
          </w:p>
        </w:tc>
      </w:tr>
      <w:tr>
        <w:tc>
          <w:tcPr>
            <w:tcW w:w="51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Лесопатологические обследования, в том числе: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при выполнении визуальным способом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834" w:type="dxa"/>
          </w:tcPr>
          <w:p>
            <w:pPr>
              <w:pStyle w:val="0"/>
              <w:ind w:left="283"/>
            </w:pPr>
            <w:r>
              <w:rPr>
                <w:sz w:val="24"/>
              </w:rPr>
              <w:t xml:space="preserve">из них:</w:t>
            </w:r>
          </w:p>
          <w:p>
            <w:pPr>
              <w:pStyle w:val="0"/>
              <w:ind w:left="283"/>
            </w:pPr>
            <w:r>
              <w:rPr>
                <w:sz w:val="24"/>
              </w:rPr>
              <w:t xml:space="preserve">дистанционным методом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834" w:type="dxa"/>
          </w:tcPr>
          <w:p>
            <w:pPr>
              <w:pStyle w:val="0"/>
              <w:ind w:left="283"/>
            </w:pPr>
            <w:r>
              <w:rPr>
                <w:sz w:val="24"/>
              </w:rPr>
              <w:t xml:space="preserve">наземным методом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при выполнении инструментальным способом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0"/>
            <w:tcW w:w="9009" w:type="dxa"/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Раздел 2 "Предупреждение распространения вредных организмов"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Предупреждение распространения вредных организмов, в том числе: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2.1.</w:t>
            </w:r>
          </w:p>
        </w:tc>
        <w:tc>
          <w:tcPr>
            <w:tcW w:w="2834" w:type="dxa"/>
          </w:tcPr>
          <w:p>
            <w:pPr>
              <w:pStyle w:val="0"/>
              <w:ind w:left="283"/>
            </w:pPr>
            <w:r>
              <w:rPr>
                <w:sz w:val="24"/>
              </w:rPr>
              <w:t xml:space="preserve">Профилактические мероприятия по защите лесов, из них: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834" w:type="dxa"/>
          </w:tcPr>
          <w:p>
            <w:pPr>
              <w:pStyle w:val="0"/>
              <w:ind w:left="566"/>
            </w:pPr>
            <w:r>
              <w:rPr>
                <w:sz w:val="24"/>
              </w:rPr>
              <w:t xml:space="preserve">лесохозяйственные мероприятия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834" w:type="dxa"/>
            <w:vMerge w:val="restart"/>
          </w:tcPr>
          <w:p>
            <w:pPr>
              <w:pStyle w:val="0"/>
              <w:ind w:left="566"/>
            </w:pPr>
            <w:r>
              <w:rPr>
                <w:sz w:val="24"/>
              </w:rPr>
              <w:t xml:space="preserve">биотехнические мероприятия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штук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2.2.</w:t>
            </w:r>
          </w:p>
        </w:tc>
        <w:tc>
          <w:tcPr>
            <w:tcW w:w="2834" w:type="dxa"/>
            <w:vMerge w:val="restart"/>
          </w:tcPr>
          <w:p>
            <w:pPr>
              <w:pStyle w:val="0"/>
              <w:ind w:left="283"/>
            </w:pPr>
            <w:r>
              <w:rPr>
                <w:sz w:val="24"/>
              </w:rPr>
              <w:t xml:space="preserve">Санитарно-оздоровительные мероприятия, в том числе: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83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сплошные санитарные рубки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834" w:type="dxa"/>
          </w:tcPr>
          <w:p>
            <w:pPr>
              <w:pStyle w:val="0"/>
              <w:ind w:left="566"/>
            </w:pPr>
            <w:r>
              <w:rPr>
                <w:sz w:val="24"/>
              </w:rPr>
              <w:t xml:space="preserve">объем ликвидной древесины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83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выборочные санитарные рубки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834" w:type="dxa"/>
          </w:tcPr>
          <w:p>
            <w:pPr>
              <w:pStyle w:val="0"/>
              <w:ind w:left="566"/>
            </w:pPr>
            <w:r>
              <w:rPr>
                <w:sz w:val="24"/>
              </w:rPr>
              <w:t xml:space="preserve">объем ликвидной древесины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83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уборка неликвидной древесины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83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рубка аварийных деревьев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штук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2.3.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Агитационные мероприятия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штук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0"/>
            <w:tcW w:w="9009" w:type="dxa"/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Раздел 3 "Ликвидация очагов вредных организмов"</w:t>
            </w:r>
          </w:p>
        </w:tc>
      </w:tr>
      <w:tr>
        <w:tc>
          <w:tcPr>
            <w:tcW w:w="51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</w:t>
            </w:r>
          </w:p>
        </w:tc>
        <w:tc>
          <w:tcPr>
            <w:tcW w:w="283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Ликвидация очагов вредных организмов, в том числе: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3.1.</w:t>
            </w:r>
          </w:p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проведение обследований очагов вредных организмов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уничтожение или подавление численности вредных организмов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834" w:type="dxa"/>
          </w:tcPr>
          <w:p>
            <w:pPr>
              <w:pStyle w:val="0"/>
              <w:ind w:left="566"/>
            </w:pPr>
            <w:r>
              <w:rPr>
                <w:sz w:val="24"/>
              </w:rPr>
              <w:t xml:space="preserve">из них:</w:t>
            </w:r>
          </w:p>
          <w:p>
            <w:pPr>
              <w:pStyle w:val="0"/>
              <w:ind w:left="566"/>
            </w:pPr>
            <w:r>
              <w:rPr>
                <w:sz w:val="24"/>
              </w:rPr>
              <w:t xml:space="preserve">с применением химических пестицидов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834" w:type="dxa"/>
          </w:tcPr>
          <w:p>
            <w:pPr>
              <w:pStyle w:val="0"/>
              <w:ind w:left="566"/>
            </w:pPr>
            <w:r>
              <w:rPr>
                <w:sz w:val="24"/>
              </w:rPr>
              <w:t xml:space="preserve">биологических пестицидов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3.2.</w:t>
            </w:r>
          </w:p>
        </w:tc>
        <w:tc>
          <w:tcPr>
            <w:tcW w:w="283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рубка лесных насаждений в целях регулирования породного и возрастного составов лесных насаждений, зараженных вредными организмами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340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834" w:type="dxa"/>
            <w:vMerge w:val="restart"/>
          </w:tcPr>
          <w:p>
            <w:pPr>
              <w:pStyle w:val="0"/>
              <w:ind w:left="566"/>
            </w:pPr>
            <w:r>
              <w:rPr>
                <w:sz w:val="24"/>
              </w:rPr>
              <w:t xml:space="preserve">из них:</w:t>
            </w:r>
          </w:p>
          <w:p>
            <w:pPr>
              <w:pStyle w:val="0"/>
              <w:ind w:left="566"/>
            </w:pPr>
            <w:r>
              <w:rPr>
                <w:sz w:val="24"/>
              </w:rPr>
              <w:t xml:space="preserve">сплошная рубка лесных насаждений, зараженных вредными организмами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343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834" w:type="dxa"/>
            <w:vMerge w:val="restart"/>
          </w:tcPr>
          <w:p>
            <w:pPr>
              <w:pStyle w:val="0"/>
              <w:ind w:left="566"/>
            </w:pPr>
            <w:r>
              <w:rPr>
                <w:sz w:val="24"/>
              </w:rPr>
              <w:t xml:space="preserve">выкладка ловчих деревьев</w:t>
            </w:r>
          </w:p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штук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</w:t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872" w:name="P872"/>
    <w:bookmarkEnd w:id="87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Поля заполняются только в отношении юридических лиц.</w:t>
      </w:r>
    </w:p>
    <w:bookmarkStart w:id="873" w:name="P873"/>
    <w:bookmarkEnd w:id="87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&lt;2&gt; Поля заполняются только в отношении граждан, в том числе индивидуальных предпринимателей.</w:t>
      </w:r>
    </w:p>
    <w:bookmarkStart w:id="874" w:name="P874"/>
    <w:bookmarkEnd w:id="87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&lt;3&gt; Поля заполняются только в отношении индивидуальных предпринимателей.</w:t>
      </w:r>
    </w:p>
    <w:bookmarkStart w:id="875" w:name="P875"/>
    <w:bookmarkEnd w:id="87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&lt;4&gt; Единица измерения указывается в соответствии с наименованием показателя, указанного в </w:t>
      </w:r>
      <w:hyperlink w:history="0" w:anchor="P542" w:tooltip="2">
        <w:r>
          <w:rPr>
            <w:sz w:val="24"/>
            <w:color w:val="0000ff"/>
          </w:rPr>
          <w:t xml:space="preserve">графе 2</w:t>
        </w:r>
      </w:hyperlink>
      <w:r>
        <w:rPr>
          <w:sz w:val="24"/>
        </w:rPr>
        <w:t xml:space="preserve">, в установленных единицах (площадь - га (с точностью до четырех десятичных знаков), протяженность - км (с точностью до одного десятичного знака), объем - м</w:t>
      </w:r>
      <w:r>
        <w:rPr>
          <w:sz w:val="24"/>
          <w:vertAlign w:val="superscript"/>
        </w:rPr>
        <w:t xml:space="preserve">3</w:t>
      </w:r>
      <w:r>
        <w:rPr>
          <w:sz w:val="24"/>
        </w:rPr>
        <w:t xml:space="preserve"> (с точностью до одного десятичного знака), количество - штук).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7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18.03.2025 N 111</w:t>
      </w:r>
    </w:p>
    <w:p>
      <w:pPr>
        <w:pStyle w:val="0"/>
        <w:jc w:val="both"/>
      </w:pPr>
      <w:r>
        <w:rPr>
          <w:sz w:val="24"/>
        </w:rPr>
      </w:r>
    </w:p>
    <w:bookmarkStart w:id="887" w:name="P887"/>
    <w:bookmarkEnd w:id="887"/>
    <w:p>
      <w:pPr>
        <w:pStyle w:val="2"/>
        <w:jc w:val="center"/>
      </w:pPr>
      <w:r>
        <w:rPr>
          <w:sz w:val="24"/>
        </w:rPr>
        <w:t xml:space="preserve">ПОРЯДОК ПРЕДСТАВЛЕНИЯ ОТЧЕТА О ЗАЩИТЕ ЛЕСОВ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Отчет о защите лесов (далее - Отчет) представляется гражданами, в том числе индивидуальными предпринимателями, юридическими лицами, осуществляющими в соответствии с Лесным </w:t>
      </w:r>
      <w:hyperlink w:history="0" r:id="rId2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 (далее - Лесной кодекс) использование лесов, а также осуществляющими мероприятия по защите лесов, в органы государственной власти, органы местного самоуправления в пределах их полномочий, определенных в соответствии со </w:t>
      </w:r>
      <w:hyperlink w:history="0" r:id="rId2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81</w:t>
        </w:r>
      </w:hyperlink>
      <w:r>
        <w:rPr>
          <w:sz w:val="24"/>
        </w:rPr>
        <w:t xml:space="preserve"> - </w:t>
      </w:r>
      <w:hyperlink w:history="0" r:id="rId3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84</w:t>
        </w:r>
      </w:hyperlink>
      <w:r>
        <w:rPr>
          <w:sz w:val="24"/>
        </w:rPr>
        <w:t xml:space="preserve"> Лесного кодекса. Отчет представляется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документа, подписанного электронной подписью в соответствии с Федеральным законом от 6 апреля 2011 г. N 63-ФЗ "Об электронной подписи",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 &lt;1&gt;.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</w:t>
      </w:r>
      <w:hyperlink w:history="0" r:id="rId31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60.11</w:t>
        </w:r>
      </w:hyperlink>
      <w:r>
        <w:rPr>
          <w:sz w:val="24"/>
        </w:rPr>
        <w:t xml:space="preserve">, </w:t>
      </w:r>
      <w:hyperlink w:history="0" r:id="rId3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93.5</w:t>
        </w:r>
      </w:hyperlink>
      <w:r>
        <w:rPr>
          <w:sz w:val="24"/>
        </w:rPr>
        <w:t xml:space="preserve"> Лесного кодекса Российской Федерации.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Отчет представляется ежеквартально, не позднее десятого числа месяца, следующего за отчетным периодом. В случаях, если проектом освоения лесов, лесохозяйственным регламентом в отчетном квартале не предусмотрены мероприятия по защите лесов, Отчет представляется ежегодно, не позднее десятого января года, следующего за отчетным.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Отчет подписывается руководителем юридического лица, гражданином, индивидуальным предпринимателем.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8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18.03.2025 N 111</w:t>
      </w:r>
    </w:p>
    <w:p>
      <w:pPr>
        <w:pStyle w:val="0"/>
        <w:jc w:val="both"/>
      </w:pPr>
      <w:r>
        <w:rPr>
          <w:sz w:val="24"/>
        </w:rPr>
      </w:r>
    </w:p>
    <w:bookmarkStart w:id="906" w:name="P906"/>
    <w:bookmarkEnd w:id="906"/>
    <w:p>
      <w:pPr>
        <w:pStyle w:val="2"/>
        <w:jc w:val="center"/>
      </w:pPr>
      <w:r>
        <w:rPr>
          <w:sz w:val="24"/>
        </w:rPr>
        <w:t xml:space="preserve">ТРЕБОВАНИЯ</w:t>
      </w:r>
    </w:p>
    <w:p>
      <w:pPr>
        <w:pStyle w:val="2"/>
        <w:jc w:val="center"/>
      </w:pPr>
      <w:r>
        <w:rPr>
          <w:sz w:val="24"/>
        </w:rPr>
        <w:t xml:space="preserve">К ФОРМАТУ ОТЧЕТА О ЗАЩИТЕ ЛЕСОВ В ЭЛЕКТРОННОЙ ФОРМЕ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Допускается формирование отчета о защите лесов от пожаров (далее - Отчет) в форме электронного документа, соответствующей форме Отчета (</w:t>
      </w:r>
      <w:hyperlink w:history="0" w:anchor="P477" w:tooltip="                           Отчет о защите лесов">
        <w:r>
          <w:rPr>
            <w:sz w:val="24"/>
            <w:color w:val="0000ff"/>
          </w:rPr>
          <w:t xml:space="preserve">приложение N 6</w:t>
        </w:r>
      </w:hyperlink>
      <w:r>
        <w:rPr>
          <w:sz w:val="24"/>
        </w:rPr>
        <w:t xml:space="preserve"> к настоящему приказу), на едином портале государственных и муниципальных услуг (далее - Единый портал) &lt;1&gt; или представление в виде файлов в формате XML, в соответствии с описанием структуры XML-документов (далее - XSD-схема), если описание XML-структуры и XSD-схемы, алгоритма передачи XML-документа представлены в свободном доступе на информационном ресурсе Единого портала или в информационно-телекоммуникационной сети "Интернет" на официальном сайте органа государственной власти, органа местного самоуправления в пределах их полномочий, определенных в соответствии со </w:t>
      </w:r>
      <w:hyperlink w:history="0" r:id="rId3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81</w:t>
        </w:r>
      </w:hyperlink>
      <w:r>
        <w:rPr>
          <w:sz w:val="24"/>
        </w:rPr>
        <w:t xml:space="preserve"> - </w:t>
      </w:r>
      <w:hyperlink w:history="0" r:id="rId3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84</w:t>
        </w:r>
      </w:hyperlink>
      <w:r>
        <w:rPr>
          <w:sz w:val="24"/>
        </w:rPr>
        <w:t xml:space="preserve"> Лесного кодекса Российской Федерации. При этом XSD-схема должна соответствовать форме Отчета (</w:t>
      </w:r>
      <w:hyperlink w:history="0" w:anchor="P477" w:tooltip="                           Отчет о защите лесов">
        <w:r>
          <w:rPr>
            <w:sz w:val="24"/>
            <w:color w:val="0000ff"/>
          </w:rPr>
          <w:t xml:space="preserve">приложение N 6</w:t>
        </w:r>
      </w:hyperlink>
      <w:r>
        <w:rPr>
          <w:sz w:val="24"/>
        </w:rPr>
        <w:t xml:space="preserve"> к настоящему приказу) и содержать сведения, позволяющие ее идентифицировать при обработке информации с использованием средств вычислительной техники.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</w:t>
      </w:r>
      <w:hyperlink w:history="0" r:id="rId35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60.11</w:t>
        </w:r>
      </w:hyperlink>
      <w:r>
        <w:rPr>
          <w:sz w:val="24"/>
        </w:rPr>
        <w:t xml:space="preserve">, </w:t>
      </w:r>
      <w:hyperlink w:history="0" r:id="rId36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93.5</w:t>
        </w:r>
      </w:hyperlink>
      <w:r>
        <w:rPr>
          <w:sz w:val="24"/>
        </w:rPr>
        <w:t xml:space="preserve"> Лесного кодекса Российской Федерации.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случае формирования Отчета в форме электронного документа без обращения к Единому порталу он должен содержать структурированную информацию, соответствующую форме Отчета (</w:t>
      </w:r>
      <w:hyperlink w:history="0" w:anchor="P477" w:tooltip="                           Отчет о защите лесов">
        <w:r>
          <w:rPr>
            <w:sz w:val="24"/>
            <w:color w:val="0000ff"/>
          </w:rPr>
          <w:t xml:space="preserve">приложение N 6</w:t>
        </w:r>
      </w:hyperlink>
      <w:r>
        <w:rPr>
          <w:sz w:val="24"/>
        </w:rPr>
        <w:t xml:space="preserve"> к настоящему приказу), и формироваться с использованием программы для работы с электронными таблицами.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18.03.2025 N 111</w:t>
            <w:br/>
            <w:t>"Об утверждении перечня информации, включаемой в отчет об охране лесов от п...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18.03.2025 N 111</w:t>
            <w:br/>
            <w:t>"Об утверждении перечня информации, включаемой в отчет об охране лесов от п...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23312&amp;date=25.02.2026&amp;dst=488&amp;field=134" TargetMode = "External"/><Relationship Id="rId9" Type="http://schemas.openxmlformats.org/officeDocument/2006/relationships/hyperlink" Target="https://login.consultant.ru/link/?req=doc&amp;base=LAW&amp;n=523312&amp;date=25.02.2026&amp;dst=492&amp;field=134" TargetMode = "External"/><Relationship Id="rId10" Type="http://schemas.openxmlformats.org/officeDocument/2006/relationships/hyperlink" Target="https://login.consultant.ru/link/?req=doc&amp;base=LAW&amp;n=500820&amp;date=25.02.2026&amp;dst=26&amp;field=134" TargetMode = "External"/><Relationship Id="rId11" Type="http://schemas.openxmlformats.org/officeDocument/2006/relationships/hyperlink" Target="https://login.consultant.ru/link/?req=doc&amp;base=LAW&amp;n=500820&amp;date=25.02.2026&amp;dst=9&amp;field=134" TargetMode = "External"/><Relationship Id="rId12" Type="http://schemas.openxmlformats.org/officeDocument/2006/relationships/hyperlink" Target="https://login.consultant.ru/link/?req=doc&amp;base=LAW&amp;n=500820&amp;date=25.02.2026&amp;dst=28&amp;field=134" TargetMode = "External"/><Relationship Id="rId13" Type="http://schemas.openxmlformats.org/officeDocument/2006/relationships/hyperlink" Target="https://login.consultant.ru/link/?req=doc&amp;base=LAW&amp;n=217704&amp;date=25.02.2026" TargetMode = "External"/><Relationship Id="rId14" Type="http://schemas.openxmlformats.org/officeDocument/2006/relationships/hyperlink" Target="https://login.consultant.ru/link/?req=doc&amp;base=LAW&amp;n=523312&amp;date=25.02.2026&amp;dst=100050&amp;field=134" TargetMode = "External"/><Relationship Id="rId15" Type="http://schemas.openxmlformats.org/officeDocument/2006/relationships/header" Target="header2.xml"/><Relationship Id="rId16" Type="http://schemas.openxmlformats.org/officeDocument/2006/relationships/footer" Target="footer2.xml"/><Relationship Id="rId17" Type="http://schemas.openxmlformats.org/officeDocument/2006/relationships/hyperlink" Target="https://login.consultant.ru/link/?req=doc&amp;base=LAW&amp;n=523312&amp;date=25.02.2026&amp;dst=100050&amp;field=134" TargetMode = "External"/><Relationship Id="rId18" Type="http://schemas.openxmlformats.org/officeDocument/2006/relationships/hyperlink" Target="https://login.consultant.ru/link/?req=doc&amp;base=LAW&amp;n=523312&amp;date=25.02.2026" TargetMode = "External"/><Relationship Id="rId19" Type="http://schemas.openxmlformats.org/officeDocument/2006/relationships/hyperlink" Target="https://login.consultant.ru/link/?req=doc&amp;base=LAW&amp;n=523312&amp;date=25.02.2026&amp;dst=101109&amp;field=134" TargetMode = "External"/><Relationship Id="rId20" Type="http://schemas.openxmlformats.org/officeDocument/2006/relationships/hyperlink" Target="https://login.consultant.ru/link/?req=doc&amp;base=LAW&amp;n=523312&amp;date=25.02.2026&amp;dst=100562&amp;field=134" TargetMode = "External"/><Relationship Id="rId21" Type="http://schemas.openxmlformats.org/officeDocument/2006/relationships/hyperlink" Target="https://login.consultant.ru/link/?req=doc&amp;base=LAW&amp;n=503689&amp;date=25.02.2026" TargetMode = "External"/><Relationship Id="rId22" Type="http://schemas.openxmlformats.org/officeDocument/2006/relationships/hyperlink" Target="https://login.consultant.ru/link/?req=doc&amp;base=LAW&amp;n=523312&amp;date=25.02.2026&amp;dst=1777&amp;field=134" TargetMode = "External"/><Relationship Id="rId23" Type="http://schemas.openxmlformats.org/officeDocument/2006/relationships/hyperlink" Target="https://login.consultant.ru/link/?req=doc&amp;base=LAW&amp;n=523312&amp;date=25.02.2026&amp;dst=1971&amp;field=134" TargetMode = "External"/><Relationship Id="rId24" Type="http://schemas.openxmlformats.org/officeDocument/2006/relationships/hyperlink" Target="https://login.consultant.ru/link/?req=doc&amp;base=LAW&amp;n=523312&amp;date=25.02.2026&amp;dst=101109&amp;field=134" TargetMode = "External"/><Relationship Id="rId25" Type="http://schemas.openxmlformats.org/officeDocument/2006/relationships/hyperlink" Target="https://login.consultant.ru/link/?req=doc&amp;base=LAW&amp;n=523312&amp;date=25.02.2026&amp;dst=100562&amp;field=134" TargetMode = "External"/><Relationship Id="rId26" Type="http://schemas.openxmlformats.org/officeDocument/2006/relationships/hyperlink" Target="https://login.consultant.ru/link/?req=doc&amp;base=LAW&amp;n=523312&amp;date=25.02.2026&amp;dst=1777&amp;field=134" TargetMode = "External"/><Relationship Id="rId27" Type="http://schemas.openxmlformats.org/officeDocument/2006/relationships/hyperlink" Target="https://login.consultant.ru/link/?req=doc&amp;base=LAW&amp;n=523312&amp;date=25.02.2026&amp;dst=1971&amp;field=134" TargetMode = "External"/><Relationship Id="rId28" Type="http://schemas.openxmlformats.org/officeDocument/2006/relationships/hyperlink" Target="https://login.consultant.ru/link/?req=doc&amp;base=LAW&amp;n=523312&amp;date=25.02.2026" TargetMode = "External"/><Relationship Id="rId29" Type="http://schemas.openxmlformats.org/officeDocument/2006/relationships/hyperlink" Target="https://login.consultant.ru/link/?req=doc&amp;base=LAW&amp;n=523312&amp;date=25.02.2026&amp;dst=101109&amp;field=134" TargetMode = "External"/><Relationship Id="rId30" Type="http://schemas.openxmlformats.org/officeDocument/2006/relationships/hyperlink" Target="https://login.consultant.ru/link/?req=doc&amp;base=LAW&amp;n=523312&amp;date=25.02.2026&amp;dst=100562&amp;field=134" TargetMode = "External"/><Relationship Id="rId31" Type="http://schemas.openxmlformats.org/officeDocument/2006/relationships/hyperlink" Target="https://login.consultant.ru/link/?req=doc&amp;base=LAW&amp;n=523312&amp;date=25.02.2026&amp;dst=1779&amp;field=134" TargetMode = "External"/><Relationship Id="rId32" Type="http://schemas.openxmlformats.org/officeDocument/2006/relationships/hyperlink" Target="https://login.consultant.ru/link/?req=doc&amp;base=LAW&amp;n=523312&amp;date=25.02.2026&amp;dst=1971&amp;field=134" TargetMode = "External"/><Relationship Id="rId33" Type="http://schemas.openxmlformats.org/officeDocument/2006/relationships/hyperlink" Target="https://login.consultant.ru/link/?req=doc&amp;base=LAW&amp;n=523312&amp;date=25.02.2026&amp;dst=101109&amp;field=134" TargetMode = "External"/><Relationship Id="rId34" Type="http://schemas.openxmlformats.org/officeDocument/2006/relationships/hyperlink" Target="https://login.consultant.ru/link/?req=doc&amp;base=LAW&amp;n=523312&amp;date=25.02.2026&amp;dst=100562&amp;field=134" TargetMode = "External"/><Relationship Id="rId35" Type="http://schemas.openxmlformats.org/officeDocument/2006/relationships/hyperlink" Target="https://login.consultant.ru/link/?req=doc&amp;base=LAW&amp;n=523312&amp;date=25.02.2026&amp;dst=1779&amp;field=134" TargetMode = "External"/><Relationship Id="rId36" Type="http://schemas.openxmlformats.org/officeDocument/2006/relationships/hyperlink" Target="https://login.consultant.ru/link/?req=doc&amp;base=LAW&amp;n=523312&amp;date=25.02.2026&amp;dst=1971&amp;field=134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18.03.2025 N 111
"Об утверждении перечня информации, включаемой в отчет об охране лесов от пожаров, формы и порядка представления отчета об охране лесов от пожаров, а также требований к формату отчета об охране лесов от пожаров в электронной форме, перечня информации, включаемой в отчет о защите лесов, формы и порядка представления отчета о защите лесов, а также требований к формату отчета о защите лесов в электронной форме"
(Зарегистрировано в Минюсте России 11.04.2025 N 81812)</dc:title>
  <dcterms:created xsi:type="dcterms:W3CDTF">2026-02-25T09:53:13Z</dcterms:created>
</cp:coreProperties>
</file>